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F8" w:rsidRDefault="00502DF8">
      <w:pPr>
        <w:pStyle w:val="Textoindependiente"/>
        <w:rPr>
          <w:rFonts w:ascii="Times New Roman"/>
        </w:rPr>
      </w:pPr>
    </w:p>
    <w:p w:rsidR="00502DF8" w:rsidRDefault="00502DF8">
      <w:pPr>
        <w:pStyle w:val="Textoindependiente"/>
        <w:spacing w:before="1"/>
        <w:rPr>
          <w:rFonts w:ascii="Times New Roman"/>
          <w:sz w:val="22"/>
        </w:rPr>
      </w:pPr>
    </w:p>
    <w:p w:rsidR="00502DF8" w:rsidRDefault="00146E5E">
      <w:pPr>
        <w:spacing w:before="100"/>
        <w:ind w:left="122"/>
        <w:rPr>
          <w:b/>
          <w:sz w:val="18"/>
        </w:rPr>
      </w:pPr>
      <w:r>
        <w:rPr>
          <w:b/>
          <w:sz w:val="18"/>
          <w:u w:val="single"/>
        </w:rPr>
        <w:t>Dirigido a deportistas de alto rendimiento de América Latina a través de UNTREF Virtual</w:t>
      </w:r>
    </w:p>
    <w:p w:rsidR="00502DF8" w:rsidRDefault="00502DF8">
      <w:pPr>
        <w:pStyle w:val="Textoindependiente"/>
        <w:spacing w:before="8"/>
        <w:rPr>
          <w:b/>
          <w:sz w:val="29"/>
        </w:rPr>
      </w:pPr>
    </w:p>
    <w:p w:rsidR="00502DF8" w:rsidRDefault="00146E5E">
      <w:pPr>
        <w:ind w:left="707" w:hanging="586"/>
        <w:rPr>
          <w:b/>
          <w:sz w:val="28"/>
        </w:rPr>
      </w:pPr>
      <w:r>
        <w:rPr>
          <w:b/>
          <w:sz w:val="28"/>
        </w:rPr>
        <w:t>Becas para fomentar la formación académica en deportistas</w:t>
      </w:r>
    </w:p>
    <w:p w:rsidR="00502DF8" w:rsidRDefault="00502DF8">
      <w:pPr>
        <w:pStyle w:val="Textoindependiente"/>
        <w:spacing w:before="6"/>
        <w:rPr>
          <w:b/>
          <w:sz w:val="32"/>
        </w:rPr>
      </w:pPr>
    </w:p>
    <w:p w:rsidR="00502DF8" w:rsidRDefault="00146E5E">
      <w:pPr>
        <w:spacing w:before="1" w:line="273" w:lineRule="auto"/>
        <w:ind w:left="467" w:right="489" w:hanging="5"/>
        <w:jc w:val="center"/>
        <w:rPr>
          <w:i/>
          <w:sz w:val="24"/>
        </w:rPr>
      </w:pPr>
      <w:r>
        <w:rPr>
          <w:i/>
          <w:sz w:val="24"/>
        </w:rPr>
        <w:t>Se trata del programa Doble Carrera que lanza la UNTREF con apoyo empresarial e institucional para fomentar que los deportistas completen o desarrollen sus estudios de grado y así ofrecer más oportunidades profesionales.</w:t>
      </w:r>
    </w:p>
    <w:p w:rsidR="00502DF8" w:rsidRDefault="00502DF8">
      <w:pPr>
        <w:pStyle w:val="Textoindependiente"/>
        <w:spacing w:before="11"/>
        <w:rPr>
          <w:i/>
          <w:sz w:val="31"/>
        </w:rPr>
      </w:pPr>
    </w:p>
    <w:p w:rsidR="00502DF8" w:rsidRDefault="00146E5E">
      <w:pPr>
        <w:pStyle w:val="Textoindependiente"/>
        <w:spacing w:line="268" w:lineRule="auto"/>
        <w:ind w:left="122" w:right="125"/>
        <w:jc w:val="both"/>
      </w:pPr>
      <w:r>
        <w:rPr>
          <w:i/>
        </w:rPr>
        <w:t xml:space="preserve">Buenos Aires, septiembre 2018.- </w:t>
      </w:r>
      <w:r>
        <w:t>La</w:t>
      </w:r>
      <w:r>
        <w:t xml:space="preserve"> Universidad Nacional de Tres de Febrero (UNTREF) lanza un programa para fomentar la formación profesional de deportistas de alto rendimiento de Argentina y de América Latina, a través de UNTREF Virtual, la plataforma de formación on line de la</w:t>
      </w:r>
      <w:r>
        <w:rPr>
          <w:spacing w:val="-1"/>
        </w:rPr>
        <w:t xml:space="preserve"> </w:t>
      </w:r>
      <w:r>
        <w:t>Universidad</w:t>
      </w:r>
      <w:r>
        <w:t>.</w:t>
      </w:r>
    </w:p>
    <w:p w:rsidR="00502DF8" w:rsidRDefault="00502DF8">
      <w:pPr>
        <w:pStyle w:val="Textoindependiente"/>
        <w:spacing w:before="4"/>
        <w:rPr>
          <w:sz w:val="22"/>
        </w:rPr>
      </w:pPr>
    </w:p>
    <w:p w:rsidR="00502DF8" w:rsidRDefault="00146E5E">
      <w:pPr>
        <w:pStyle w:val="Textoindependiente"/>
        <w:spacing w:line="268" w:lineRule="auto"/>
        <w:ind w:left="122" w:right="124"/>
        <w:jc w:val="both"/>
      </w:pPr>
      <w:r>
        <w:t xml:space="preserve">El programa </w:t>
      </w:r>
      <w:r>
        <w:rPr>
          <w:i/>
        </w:rPr>
        <w:t xml:space="preserve">Doble carrera </w:t>
      </w:r>
      <w:r>
        <w:t>busca que los deportistas puedan completar su desarrollo deportivo con una formación universitaria de excelencia como la que ofrece UNTREF Virtual, con contenidos de calidad y apoyados en las nuevas tecnologías de la comunicaci</w:t>
      </w:r>
      <w:r>
        <w:t xml:space="preserve">ón e información, teniendo una doble oportunidad a futuro. Los interesados pueden contactarse a través de </w:t>
      </w:r>
      <w:hyperlink r:id="rId7">
        <w:r>
          <w:t>doblecarrera@untref.edu.ar</w:t>
        </w:r>
      </w:hyperlink>
    </w:p>
    <w:p w:rsidR="00502DF8" w:rsidRDefault="00502DF8">
      <w:pPr>
        <w:pStyle w:val="Textoindependiente"/>
        <w:spacing w:before="4"/>
        <w:rPr>
          <w:sz w:val="22"/>
        </w:rPr>
      </w:pPr>
    </w:p>
    <w:p w:rsidR="00502DF8" w:rsidRDefault="00146E5E">
      <w:pPr>
        <w:pStyle w:val="Textoindependiente"/>
        <w:ind w:left="122"/>
      </w:pPr>
      <w:r>
        <w:t>Las condiciones para aspirar a las becas son:</w:t>
      </w:r>
    </w:p>
    <w:p w:rsidR="00502DF8" w:rsidRDefault="00502DF8">
      <w:pPr>
        <w:pStyle w:val="Textoindependiente"/>
        <w:spacing w:before="9"/>
        <w:rPr>
          <w:sz w:val="19"/>
        </w:rPr>
      </w:pPr>
    </w:p>
    <w:p w:rsidR="00502DF8" w:rsidRDefault="00146E5E">
      <w:pPr>
        <w:pStyle w:val="Prrafodelista"/>
        <w:numPr>
          <w:ilvl w:val="0"/>
          <w:numId w:val="1"/>
        </w:numPr>
        <w:tabs>
          <w:tab w:val="left" w:pos="258"/>
        </w:tabs>
        <w:ind w:right="355" w:firstLine="0"/>
        <w:rPr>
          <w:sz w:val="20"/>
        </w:rPr>
      </w:pPr>
      <w:r>
        <w:rPr>
          <w:sz w:val="20"/>
        </w:rPr>
        <w:t>Ser deportista de alto r</w:t>
      </w:r>
      <w:r>
        <w:rPr>
          <w:sz w:val="20"/>
        </w:rPr>
        <w:t>endimiento a nivel mundial, olímpico, panamericano, sudamericano o nacional.</w:t>
      </w:r>
    </w:p>
    <w:p w:rsidR="00502DF8" w:rsidRDefault="00146E5E">
      <w:pPr>
        <w:pStyle w:val="Prrafodelista"/>
        <w:numPr>
          <w:ilvl w:val="0"/>
          <w:numId w:val="1"/>
        </w:numPr>
        <w:tabs>
          <w:tab w:val="left" w:pos="258"/>
        </w:tabs>
        <w:spacing w:before="148"/>
        <w:ind w:right="810" w:firstLine="0"/>
        <w:rPr>
          <w:sz w:val="20"/>
        </w:rPr>
      </w:pPr>
      <w:r>
        <w:rPr>
          <w:sz w:val="20"/>
        </w:rPr>
        <w:t>Presentar una carta de la federación/asociación deportiva pertinente que demuestre su condición de</w:t>
      </w:r>
      <w:r>
        <w:rPr>
          <w:spacing w:val="-1"/>
          <w:sz w:val="20"/>
        </w:rPr>
        <w:t xml:space="preserve"> </w:t>
      </w:r>
      <w:r>
        <w:rPr>
          <w:sz w:val="20"/>
        </w:rPr>
        <w:t>deportista.</w:t>
      </w:r>
    </w:p>
    <w:p w:rsidR="00502DF8" w:rsidRDefault="00146E5E">
      <w:pPr>
        <w:pStyle w:val="Prrafodelista"/>
        <w:numPr>
          <w:ilvl w:val="0"/>
          <w:numId w:val="1"/>
        </w:numPr>
        <w:tabs>
          <w:tab w:val="left" w:pos="258"/>
        </w:tabs>
        <w:spacing w:before="148"/>
        <w:ind w:right="283" w:firstLine="0"/>
        <w:rPr>
          <w:sz w:val="20"/>
        </w:rPr>
      </w:pPr>
      <w:r>
        <w:rPr>
          <w:sz w:val="20"/>
        </w:rPr>
        <w:t xml:space="preserve">Ser admitido por el Comité de Selección de la Universidad, integrado por el ex voleibolista Marcos Milinkovic, el coordinador de UNTREF Vóley Esteban Símaro y la Gran Maestra Internacional de Ajedrez Carolina Luján, todos estrictamente ligados a distintos </w:t>
      </w:r>
      <w:r>
        <w:rPr>
          <w:sz w:val="20"/>
        </w:rPr>
        <w:t>proyectos deportivos de la Universidad; y la directora de la plataforma UNTREF Virtual, Lic. Mariana Vera Rossi.</w:t>
      </w:r>
    </w:p>
    <w:p w:rsidR="00502DF8" w:rsidRDefault="00502DF8">
      <w:pPr>
        <w:pStyle w:val="Textoindependiente"/>
        <w:spacing w:before="5"/>
        <w:rPr>
          <w:sz w:val="19"/>
        </w:rPr>
      </w:pPr>
    </w:p>
    <w:p w:rsidR="00502DF8" w:rsidRDefault="00146E5E">
      <w:pPr>
        <w:pStyle w:val="Textoindependiente"/>
        <w:spacing w:line="268" w:lineRule="auto"/>
        <w:ind w:left="122" w:right="301"/>
      </w:pPr>
      <w:r>
        <w:t>Gracias al apoyo de empresas e instituciones, comprometidas con la formación integral y el futuro de los jóvenes deportistas, los beneficiario</w:t>
      </w:r>
      <w:r>
        <w:t>s pueden cursar una carrera universitaria en formato a distancia, permitiendo así que puedan continuar desarrollando su carrera deportiva, en la cual permanecen por largos períodos fuera de sus lugares de residencia o deben cumplir con horarios de entrenam</w:t>
      </w:r>
      <w:r>
        <w:t>iento que les dificulta cursar de modo presencial.</w:t>
      </w:r>
    </w:p>
    <w:p w:rsidR="00502DF8" w:rsidRDefault="00502DF8">
      <w:pPr>
        <w:pStyle w:val="Textoindependiente"/>
        <w:spacing w:before="3"/>
        <w:rPr>
          <w:sz w:val="22"/>
        </w:rPr>
      </w:pPr>
    </w:p>
    <w:p w:rsidR="00502DF8" w:rsidRDefault="00146E5E">
      <w:pPr>
        <w:pStyle w:val="Textoindependiente"/>
        <w:spacing w:before="1" w:line="268" w:lineRule="auto"/>
        <w:ind w:left="122" w:right="214"/>
      </w:pPr>
      <w:r>
        <w:t>El aporte de los contribuyentes le permitirá al estudiante ser beneficiario de una beca completa de estudios por un año, lo que equivale a un módulo: cada módulo tiene un valor de $22.000 (pesos veintidos</w:t>
      </w:r>
      <w:r>
        <w:t xml:space="preserve"> mil) y le permitirá al alumno comenzar a estudiar en el inicio de cada ciclo lectivo, en el cuatrimestre inmediatamente siguiente a la inscripción, siendo imposible su incorporación al plan de estudios en el transcurso del cuatrimestre.</w:t>
      </w:r>
    </w:p>
    <w:p w:rsidR="00502DF8" w:rsidRDefault="00502DF8">
      <w:pPr>
        <w:pStyle w:val="Textoindependiente"/>
        <w:spacing w:before="3"/>
        <w:rPr>
          <w:sz w:val="22"/>
        </w:rPr>
      </w:pPr>
    </w:p>
    <w:p w:rsidR="00502DF8" w:rsidRDefault="00146E5E">
      <w:pPr>
        <w:pStyle w:val="Textoindependiente"/>
        <w:spacing w:before="1" w:line="268" w:lineRule="auto"/>
        <w:ind w:left="122" w:right="266"/>
      </w:pPr>
      <w:r>
        <w:t>La oferta educati</w:t>
      </w:r>
      <w:r>
        <w:t>va es amplia e incluye cursos, diplomaturas, tecnicaturas, carreras de grado y posgrado. El sistema cuenta, para el nivel de grado, con 14 licenciaturas a distancia y 11</w:t>
      </w:r>
    </w:p>
    <w:p w:rsidR="00502DF8" w:rsidRDefault="00502DF8">
      <w:pPr>
        <w:spacing w:line="268" w:lineRule="auto"/>
        <w:sectPr w:rsidR="00502DF8">
          <w:headerReference w:type="default" r:id="rId8"/>
          <w:type w:val="continuous"/>
          <w:pgSz w:w="11920" w:h="16860"/>
          <w:pgMar w:top="1680" w:right="1580" w:bottom="280" w:left="1580" w:header="1217" w:footer="720" w:gutter="0"/>
          <w:cols w:space="720"/>
        </w:sectPr>
      </w:pPr>
    </w:p>
    <w:p w:rsidR="00502DF8" w:rsidRDefault="00502DF8">
      <w:pPr>
        <w:pStyle w:val="Textoindependiente"/>
      </w:pPr>
    </w:p>
    <w:p w:rsidR="00502DF8" w:rsidRDefault="00502DF8">
      <w:pPr>
        <w:pStyle w:val="Textoindependiente"/>
        <w:spacing w:before="8"/>
        <w:rPr>
          <w:sz w:val="19"/>
        </w:rPr>
      </w:pPr>
    </w:p>
    <w:p w:rsidR="00502DF8" w:rsidRDefault="00146E5E">
      <w:pPr>
        <w:pStyle w:val="Textoindependiente"/>
        <w:spacing w:before="100" w:line="268" w:lineRule="auto"/>
        <w:ind w:left="122" w:right="172"/>
      </w:pPr>
      <w:r>
        <w:t>tecnicaturas; para el nivel de posgrado, con 4 maestrías, 1 especialización y 7 cursos; y para su oferta de extensión, con 11 diplomaturas y 6 cursos. Asimismo, la modalidad dispone hoy de 160 docentes y tiene cerca de 3000 estudiantes inscriptos.</w:t>
      </w:r>
    </w:p>
    <w:p w:rsidR="00502DF8" w:rsidRDefault="00502DF8">
      <w:pPr>
        <w:pStyle w:val="Textoindependiente"/>
        <w:spacing w:before="4"/>
        <w:rPr>
          <w:sz w:val="22"/>
        </w:rPr>
      </w:pPr>
    </w:p>
    <w:p w:rsidR="00502DF8" w:rsidRDefault="00146E5E">
      <w:pPr>
        <w:pStyle w:val="Textoindependiente"/>
        <w:spacing w:line="268" w:lineRule="auto"/>
        <w:ind w:left="122" w:right="224"/>
      </w:pPr>
      <w:r>
        <w:t>UNTREF es la única universidad en el país que posee un proyecto deportivo de alta competencia, mediante su participación en la máxima categoría del vóley argentino. A su vez cuenta con una sólida formación en gestión del deporte y también una diplomatura e</w:t>
      </w:r>
      <w:r>
        <w:t>n ajedrez.</w:t>
      </w:r>
    </w:p>
    <w:p w:rsidR="00502DF8" w:rsidRDefault="00502DF8">
      <w:pPr>
        <w:pStyle w:val="Textoindependiente"/>
        <w:spacing w:before="11"/>
        <w:rPr>
          <w:sz w:val="19"/>
        </w:rPr>
      </w:pPr>
    </w:p>
    <w:p w:rsidR="00502DF8" w:rsidRDefault="00146E5E">
      <w:pPr>
        <w:pStyle w:val="Textoindependiente"/>
        <w:spacing w:line="268" w:lineRule="auto"/>
        <w:ind w:left="122" w:right="129"/>
        <w:jc w:val="both"/>
      </w:pPr>
      <w:r>
        <w:rPr>
          <w:b/>
        </w:rPr>
        <w:t xml:space="preserve">UNTREF Virtual </w:t>
      </w:r>
      <w:r>
        <w:t>es un espacio integral de formación y capacitación virtual por Internet, capaz de responder a las exigencias de una educación globalizada que cruza fronteras y campos de conocimiento. Sus objetivos:</w:t>
      </w:r>
    </w:p>
    <w:p w:rsidR="00502DF8" w:rsidRDefault="00502DF8">
      <w:pPr>
        <w:pStyle w:val="Textoindependiente"/>
        <w:spacing w:before="9"/>
        <w:rPr>
          <w:sz w:val="23"/>
        </w:rPr>
      </w:pPr>
    </w:p>
    <w:p w:rsidR="00502DF8" w:rsidRDefault="00146E5E">
      <w:pPr>
        <w:pStyle w:val="Prrafodelista"/>
        <w:numPr>
          <w:ilvl w:val="1"/>
          <w:numId w:val="1"/>
        </w:numPr>
        <w:tabs>
          <w:tab w:val="left" w:pos="843"/>
        </w:tabs>
        <w:spacing w:line="237" w:lineRule="auto"/>
        <w:ind w:right="129" w:hanging="360"/>
        <w:jc w:val="both"/>
        <w:rPr>
          <w:sz w:val="20"/>
        </w:rPr>
      </w:pPr>
      <w:r>
        <w:rPr>
          <w:sz w:val="20"/>
        </w:rPr>
        <w:t>Favorecer en los alumnos la a</w:t>
      </w:r>
      <w:r>
        <w:rPr>
          <w:sz w:val="20"/>
        </w:rPr>
        <w:t>dquisición de nuevas competencias necesarias para que puedan desarrollarse profesionalmente en la sociedad de la información, sobrellevando con éxito los retos que actualmente plantea la realidad socioeconómica y el mercado laboral.</w:t>
      </w:r>
    </w:p>
    <w:p w:rsidR="00502DF8" w:rsidRDefault="00146E5E">
      <w:pPr>
        <w:pStyle w:val="Prrafodelista"/>
        <w:numPr>
          <w:ilvl w:val="1"/>
          <w:numId w:val="1"/>
        </w:numPr>
        <w:tabs>
          <w:tab w:val="left" w:pos="843"/>
        </w:tabs>
        <w:spacing w:before="4" w:line="237" w:lineRule="auto"/>
        <w:ind w:right="125" w:hanging="360"/>
        <w:jc w:val="both"/>
        <w:rPr>
          <w:sz w:val="20"/>
        </w:rPr>
      </w:pPr>
      <w:r>
        <w:rPr>
          <w:sz w:val="20"/>
        </w:rPr>
        <w:t>Facilitar el acceso a a</w:t>
      </w:r>
      <w:r>
        <w:rPr>
          <w:sz w:val="20"/>
        </w:rPr>
        <w:t>prendizajes de calidad y excelencia, más allá del lugar de residencia y la disponibilidad horaria de quienes se interesen por nuestra oferta académica.</w:t>
      </w:r>
    </w:p>
    <w:p w:rsidR="00502DF8" w:rsidRDefault="00146E5E">
      <w:pPr>
        <w:pStyle w:val="Prrafodelista"/>
        <w:numPr>
          <w:ilvl w:val="1"/>
          <w:numId w:val="1"/>
        </w:numPr>
        <w:tabs>
          <w:tab w:val="left" w:pos="843"/>
        </w:tabs>
        <w:spacing w:before="2" w:line="237" w:lineRule="auto"/>
        <w:ind w:hanging="360"/>
        <w:jc w:val="both"/>
        <w:rPr>
          <w:sz w:val="20"/>
        </w:rPr>
      </w:pPr>
      <w:r>
        <w:rPr>
          <w:sz w:val="20"/>
        </w:rPr>
        <w:t>Fomentar estrategias de aprendizaje autónomo a través de un modelo de enseñanza flexible e</w:t>
      </w:r>
      <w:r>
        <w:rPr>
          <w:spacing w:val="-1"/>
          <w:sz w:val="20"/>
        </w:rPr>
        <w:t xml:space="preserve"> </w:t>
      </w:r>
      <w:r>
        <w:rPr>
          <w:sz w:val="20"/>
        </w:rPr>
        <w:t>innovador.</w:t>
      </w:r>
    </w:p>
    <w:p w:rsidR="00502DF8" w:rsidRDefault="00502DF8">
      <w:pPr>
        <w:pStyle w:val="Textoindependiente"/>
        <w:spacing w:before="7"/>
        <w:rPr>
          <w:sz w:val="23"/>
        </w:rPr>
      </w:pPr>
    </w:p>
    <w:p w:rsidR="00502DF8" w:rsidRDefault="00146E5E">
      <w:pPr>
        <w:pStyle w:val="Textoindependiente"/>
        <w:ind w:left="122" w:right="126"/>
        <w:jc w:val="both"/>
      </w:pPr>
      <w:r>
        <w:t>A</w:t>
      </w:r>
      <w:r>
        <w:t xml:space="preserve"> fin de lograr sus objetivos, la UNTREF Virtual desarrolló un espacio virtual de formación que combina elementos sincrónicos como el chat y la video-conferencia, con elementos asincrónicos como los foros, el correo y las actividades interactivas.</w:t>
      </w:r>
    </w:p>
    <w:p w:rsidR="00502DF8" w:rsidRDefault="00502DF8">
      <w:pPr>
        <w:pStyle w:val="Textoindependiente"/>
        <w:spacing w:before="4"/>
        <w:rPr>
          <w:sz w:val="23"/>
        </w:rPr>
      </w:pPr>
    </w:p>
    <w:p w:rsidR="00502DF8" w:rsidRDefault="00146E5E">
      <w:pPr>
        <w:pStyle w:val="Textoindependiente"/>
        <w:ind w:left="122" w:right="125"/>
        <w:jc w:val="both"/>
      </w:pPr>
      <w:r>
        <w:t>Asimismo, cuenta con un prestigioso cuerpo académico de alto nivel y perfil internacional, que formado en la enseñanza virtual, proporciona las herramientas conceptuales para lograr una verdadera comprensión por parte del alumno.</w:t>
      </w:r>
    </w:p>
    <w:p w:rsidR="00502DF8" w:rsidRDefault="00502DF8">
      <w:pPr>
        <w:pStyle w:val="Textoindependiente"/>
      </w:pPr>
    </w:p>
    <w:p w:rsidR="00502DF8" w:rsidRDefault="00502DF8">
      <w:pPr>
        <w:pStyle w:val="Textoindependiente"/>
        <w:spacing w:before="11"/>
        <w:rPr>
          <w:sz w:val="17"/>
        </w:rPr>
      </w:pPr>
      <w:r w:rsidRPr="00502D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45pt;margin-top:13.15pt;width:427.15pt;height:35.3pt;z-index:-251658752;mso-wrap-distance-left:0;mso-wrap-distance-right:0;mso-position-horizontal-relative:page" filled="f" strokeweight=".26481mm">
            <v:textbox inset="0,0,0,0">
              <w:txbxContent>
                <w:p w:rsidR="00502DF8" w:rsidRDefault="00146E5E">
                  <w:pPr>
                    <w:spacing w:before="50" w:line="232" w:lineRule="auto"/>
                    <w:ind w:left="58" w:right="11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Para más información </w:t>
                  </w:r>
                  <w:r>
                    <w:rPr>
                      <w:b/>
                      <w:sz w:val="18"/>
                    </w:rPr>
                    <w:t xml:space="preserve">de prensa comunicarse con </w:t>
                  </w:r>
                  <w:r>
                    <w:rPr>
                      <w:b/>
                      <w:color w:val="FF6600"/>
                      <w:sz w:val="18"/>
                    </w:rPr>
                    <w:t xml:space="preserve">tres </w:t>
                  </w:r>
                  <w:r>
                    <w:rPr>
                      <w:b/>
                      <w:sz w:val="18"/>
                    </w:rPr>
                    <w:t xml:space="preserve">l Consultores: 011-4780-4195/6 Diego Marquis </w:t>
                  </w:r>
                  <w:hyperlink r:id="rId9"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dmarquis@tresconsultores.com.a</w:t>
                    </w:r>
                  </w:hyperlink>
                  <w:r>
                    <w:rPr>
                      <w:b/>
                      <w:color w:val="0000FF"/>
                      <w:sz w:val="18"/>
                      <w:u w:val="single" w:color="0000FF"/>
                    </w:rPr>
                    <w:t xml:space="preserve">r </w:t>
                  </w:r>
                  <w:hyperlink r:id="rId10"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prensa@untref.edu.ar</w:t>
                    </w:r>
                  </w:hyperlink>
                </w:p>
                <w:p w:rsidR="00502DF8" w:rsidRDefault="00146E5E">
                  <w:pPr>
                    <w:spacing w:line="211" w:lineRule="exact"/>
                    <w:ind w:left="5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Agustina Veronesi </w:t>
                  </w:r>
                  <w:hyperlink r:id="rId11"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averonesi@tresconsultores.com.ar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502DF8" w:rsidSect="00502DF8">
      <w:pgSz w:w="11920" w:h="16860"/>
      <w:pgMar w:top="1680" w:right="1580" w:bottom="280" w:left="1580" w:header="12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5E" w:rsidRDefault="00146E5E" w:rsidP="00502DF8">
      <w:r>
        <w:separator/>
      </w:r>
    </w:p>
  </w:endnote>
  <w:endnote w:type="continuationSeparator" w:id="1">
    <w:p w:rsidR="00146E5E" w:rsidRDefault="00146E5E" w:rsidP="0050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5E" w:rsidRDefault="00146E5E" w:rsidP="00502DF8">
      <w:r>
        <w:separator/>
      </w:r>
    </w:p>
  </w:footnote>
  <w:footnote w:type="continuationSeparator" w:id="1">
    <w:p w:rsidR="00146E5E" w:rsidRDefault="00146E5E" w:rsidP="00502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F8" w:rsidRDefault="00146E5E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68432439" behindDoc="1" locked="0" layoutInCell="1" allowOverlap="1">
          <wp:simplePos x="0" y="0"/>
          <wp:positionH relativeFrom="page">
            <wp:posOffset>851450</wp:posOffset>
          </wp:positionH>
          <wp:positionV relativeFrom="page">
            <wp:posOffset>772613</wp:posOffset>
          </wp:positionV>
          <wp:extent cx="2180286" cy="3054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0286" cy="30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C2B"/>
    <w:multiLevelType w:val="hybridMultilevel"/>
    <w:tmpl w:val="600AE1CA"/>
    <w:lvl w:ilvl="0" w:tplc="87B6D52C">
      <w:numFmt w:val="bullet"/>
      <w:lvlText w:val="-"/>
      <w:lvlJc w:val="left"/>
      <w:pPr>
        <w:ind w:left="122" w:hanging="136"/>
      </w:pPr>
      <w:rPr>
        <w:rFonts w:ascii="Tahoma" w:eastAsia="Tahoma" w:hAnsi="Tahoma" w:cs="Tahoma" w:hint="default"/>
        <w:w w:val="100"/>
        <w:sz w:val="20"/>
        <w:szCs w:val="20"/>
      </w:rPr>
    </w:lvl>
    <w:lvl w:ilvl="1" w:tplc="7556C4A0">
      <w:numFmt w:val="bullet"/>
      <w:lvlText w:val="●"/>
      <w:lvlJc w:val="left"/>
      <w:pPr>
        <w:ind w:left="842" w:hanging="3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1CA817C">
      <w:numFmt w:val="bullet"/>
      <w:lvlText w:val="•"/>
      <w:lvlJc w:val="left"/>
      <w:pPr>
        <w:ind w:left="1720" w:hanging="361"/>
      </w:pPr>
      <w:rPr>
        <w:rFonts w:hint="default"/>
      </w:rPr>
    </w:lvl>
    <w:lvl w:ilvl="3" w:tplc="D9ECF264">
      <w:numFmt w:val="bullet"/>
      <w:lvlText w:val="•"/>
      <w:lvlJc w:val="left"/>
      <w:pPr>
        <w:ind w:left="2600" w:hanging="361"/>
      </w:pPr>
      <w:rPr>
        <w:rFonts w:hint="default"/>
      </w:rPr>
    </w:lvl>
    <w:lvl w:ilvl="4" w:tplc="9F04EEB4">
      <w:numFmt w:val="bullet"/>
      <w:lvlText w:val="•"/>
      <w:lvlJc w:val="left"/>
      <w:pPr>
        <w:ind w:left="3480" w:hanging="361"/>
      </w:pPr>
      <w:rPr>
        <w:rFonts w:hint="default"/>
      </w:rPr>
    </w:lvl>
    <w:lvl w:ilvl="5" w:tplc="1AC0897E">
      <w:numFmt w:val="bullet"/>
      <w:lvlText w:val="•"/>
      <w:lvlJc w:val="left"/>
      <w:pPr>
        <w:ind w:left="4360" w:hanging="361"/>
      </w:pPr>
      <w:rPr>
        <w:rFonts w:hint="default"/>
      </w:rPr>
    </w:lvl>
    <w:lvl w:ilvl="6" w:tplc="0EF66FA2">
      <w:numFmt w:val="bullet"/>
      <w:lvlText w:val="•"/>
      <w:lvlJc w:val="left"/>
      <w:pPr>
        <w:ind w:left="5240" w:hanging="361"/>
      </w:pPr>
      <w:rPr>
        <w:rFonts w:hint="default"/>
      </w:rPr>
    </w:lvl>
    <w:lvl w:ilvl="7" w:tplc="33F249DC">
      <w:numFmt w:val="bullet"/>
      <w:lvlText w:val="•"/>
      <w:lvlJc w:val="left"/>
      <w:pPr>
        <w:ind w:left="6120" w:hanging="361"/>
      </w:pPr>
      <w:rPr>
        <w:rFonts w:hint="default"/>
      </w:rPr>
    </w:lvl>
    <w:lvl w:ilvl="8" w:tplc="CCBA9990">
      <w:numFmt w:val="bullet"/>
      <w:lvlText w:val="•"/>
      <w:lvlJc w:val="left"/>
      <w:pPr>
        <w:ind w:left="70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02DF8"/>
    <w:rsid w:val="00146E5E"/>
    <w:rsid w:val="00492F38"/>
    <w:rsid w:val="00502DF8"/>
    <w:rsid w:val="00571B5E"/>
    <w:rsid w:val="00A1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2DF8"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2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02DF8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02DF8"/>
    <w:pPr>
      <w:ind w:left="122" w:right="124" w:hanging="360"/>
    </w:pPr>
  </w:style>
  <w:style w:type="paragraph" w:customStyle="1" w:styleId="TableParagraph">
    <w:name w:val="Table Paragraph"/>
    <w:basedOn w:val="Normal"/>
    <w:uiPriority w:val="1"/>
    <w:qFormat/>
    <w:rsid w:val="00502D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blecarrera@untref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eronesi@tresconsultores.com.a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@untref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arquis@tresconsultores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702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2018-09-12T12:40:00Z</dcterms:created>
  <dcterms:modified xsi:type="dcterms:W3CDTF">2018-09-12T12:40:00Z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2018-09-12T00:00:00Z</vt:filetime>
  </property>
</Properties>
</file>