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b w:val="1"/>
          <w:color w:val="333333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highlight w:val="white"/>
          <w:rtl w:val="0"/>
        </w:rPr>
        <w:t xml:space="preserve">Jorge Carpio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color w:val="333333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highlight w:val="white"/>
          <w:rtl w:val="0"/>
        </w:rPr>
        <w:t xml:space="preserve">Jorge Carpio es licenciado en Sociología UBA. Magister en Ciencia Sociales. PUC. Lima. Especialista en Población y Desarrollo FNUAP/CELADE. Especialista en empleo, pobreza y desigualdad como experto de la OIT y diversas agencias del Sistema de Naciones Unidas, en diversos países de la región. Profesor en la Universidad de Lima, Javeriana de Colombia, y UBA de Argentina. Ha dictado cursos en la  American University,  Washigton DC.  San Marcos de Lima y Central de Venezuela. Ha publicado tres libros de su especialidad y diversos artículos en revistas del país y la región. Actualmente dirige una investigación sobre condiciones de vida y trabajo de los migrantes de origen boliviano en el sector de confecciones. Dirige la maestría y el centro de investigaciones en políticas sociales urbanas de la UNTREF.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color w:val="333333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