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520" w:before="300" w:line="335.99999999999994" w:lineRule="auto"/>
        <w:contextualSpacing w:val="0"/>
        <w:jc w:val="center"/>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 Programación científica 2012-2013</w:t>
      </w:r>
    </w:p>
    <w:tbl>
      <w:tblPr>
        <w:tblStyle w:val="Table1"/>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70"/>
        <w:gridCol w:w="2235"/>
        <w:gridCol w:w="6345"/>
        <w:tblGridChange w:id="0">
          <w:tblGrid>
            <w:gridCol w:w="5970"/>
            <w:gridCol w:w="2235"/>
            <w:gridCol w:w="634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Denominación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Equipo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Resumen</w:t>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center"/>
              <w:rPr>
                <w:rFonts w:ascii="Verdana" w:cs="Verdana" w:eastAsia="Verdana" w:hAnsi="Verdana"/>
                <w:b w:val="1"/>
                <w:color w:val="19181c"/>
                <w:highlight w:val="white"/>
              </w:rPr>
            </w:pPr>
            <w:r w:rsidDel="00000000" w:rsidR="00000000" w:rsidRPr="00000000">
              <w:rPr>
                <w:rFonts w:ascii="Verdana" w:cs="Verdana" w:eastAsia="Verdana" w:hAnsi="Verdana"/>
                <w:color w:val="19181c"/>
                <w:highlight w:val="white"/>
                <w:rtl w:val="0"/>
              </w:rPr>
              <w:t xml:space="preserve">Género, trabajo y migración: etnografía sobre las economías domésticas del cuidado y la conformación de familias transnacionales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Jorge Carpio</w:t>
            </w:r>
          </w:p>
          <w:p w:rsidR="00000000" w:rsidDel="00000000" w:rsidP="00000000" w:rsidRDefault="00000000" w:rsidRPr="00000000">
            <w:pPr>
              <w:widowControl w:val="0"/>
              <w:spacing w:line="240" w:lineRule="auto"/>
              <w:contextualSpacing w:val="0"/>
              <w:rPr>
                <w:rFonts w:ascii="Verdana" w:cs="Verdana" w:eastAsia="Verdana" w:hAnsi="Verdana"/>
                <w:color w:val="19181c"/>
                <w:highlight w:val="white"/>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Victoria Castilla, Gloria Reto, Claudia Brizuela y Fernanda Miguel.</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color w:val="19181c"/>
                <w:highlight w:val="white"/>
                <w:rtl w:val="0"/>
              </w:rPr>
              <w:t xml:space="preserve">En base a entrevistas en profundidad a un grupo significativo de mujeres migrantes que trabajan en la economía del cuidado se analizan los efectos de los arreglos familiares en los hogares de origen por la salida de las mujeres con hijos a cargo al mercado internacional del cuidado. Complementariamente se analizan y comparan estos efectos/arreglos con los hogares donde trabajan estas mujeres, tomando los casos de hogares de clase media de la CABA con mujeres activas preferentemente con hijos menores a cargo, que trabajan fuera del hogar. </w:t>
            </w:r>
            <w:r w:rsidDel="00000000" w:rsidR="00000000" w:rsidRPr="00000000">
              <w:rPr>
                <w:rtl w:val="0"/>
              </w:rPr>
            </w:r>
          </w:p>
        </w:tc>
      </w:tr>
    </w:tbl>
    <w:p w:rsidR="00000000" w:rsidDel="00000000" w:rsidP="00000000" w:rsidRDefault="00000000" w:rsidRPr="00000000">
      <w:pPr>
        <w:numPr>
          <w:ilvl w:val="0"/>
          <w:numId w:val="1"/>
        </w:numPr>
        <w:spacing w:after="520" w:before="300" w:line="335.99999999999994" w:lineRule="auto"/>
        <w:ind w:left="720" w:hanging="360"/>
        <w:contextualSpacing w:val="1"/>
        <w:jc w:val="both"/>
        <w:rPr>
          <w:rFonts w:ascii="Verdana" w:cs="Verdana" w:eastAsia="Verdana" w:hAnsi="Verdana"/>
          <w:color w:val="19181c"/>
          <w:highlight w:val="whit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sectPr>
      <w:headerReference r:id="rId6" w:type="default"/>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before="142" w:line="240" w:lineRule="auto"/>
      <w:ind w:left="-1701" w:firstLine="0"/>
      <w:contextualSpacing w:val="0"/>
      <w:jc w:val="center"/>
      <w:rPr/>
    </w:pPr>
    <w:r w:rsidDel="00000000" w:rsidR="00000000" w:rsidRPr="00000000">
      <w:rPr>
        <w:rFonts w:ascii="Calibri" w:cs="Calibri" w:eastAsia="Calibri" w:hAnsi="Calibri"/>
      </w:rPr>
      <w:drawing>
        <wp:inline distB="0" distT="0" distL="0" distR="0">
          <wp:extent cx="2328880" cy="1028632"/>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28880" cy="1028632"/>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991803" cy="924619"/>
          <wp:effectExtent b="0" l="0" r="0" t="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991803" cy="924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