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  <w:b w:val="1"/>
        </w:rPr>
      </w:pPr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Mariana Chaves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Lic. en Antropología, Dra. en Cs. Naturales con orientación en Antropología y Posdoctorado CEA-UNC. Investigadora CONICET en el Laboratorio de Estudios en Cultura y Sociedad (LECyS) de la Facultad de Trabajo Social, Universidad Nacional de La Plata. Docente investigadora del CEIPSU,Universidad Nacional de Tres de Febrero. Dirige proyectos de investigación, extensión, voluntariado, becarios y tesistas en UNLP y UNTREF. Es profesora estable de posgrado en UNLP, UNTREF y Universidad Nacional de San Luis. Temas de trabajo: antropología urbana, desigualdades, juventudes, políticas públicas, prácticas culturales y ciudadanía.</w:t>
      </w:r>
    </w:p>
    <w:p w:rsidR="00000000" w:rsidDel="00000000" w:rsidP="00000000" w:rsidRDefault="00000000" w:rsidRPr="00000000">
      <w:pPr>
        <w:shd w:fill="ffffff" w:val="clear"/>
        <w:spacing w:line="360" w:lineRule="auto"/>
        <w:contextualSpacing w:val="0"/>
        <w:jc w:val="both"/>
        <w:rPr>
          <w:rFonts w:ascii="Verdana" w:cs="Verdana" w:eastAsia="Verdana" w:hAnsi="Verdana"/>
          <w:color w:val="222222"/>
        </w:rPr>
      </w:pPr>
      <w:r w:rsidDel="00000000" w:rsidR="00000000" w:rsidRPr="00000000">
        <w:rPr>
          <w:rFonts w:ascii="Verdana" w:cs="Verdana" w:eastAsia="Verdana" w:hAnsi="Verdana"/>
          <w:color w:val="222222"/>
          <w:rtl w:val="0"/>
        </w:rPr>
        <w:t xml:space="preserve">Se ha desempañado como consultora de agencias estatales y organismos internacionales. Miembro de la Red de Investigadoras/es en Juventudes Argentina (ReIJA). Miembro del emprendimiento social "Casa Joven B.A. - Obra del Padre Cajade" dedicándose al trabajo comunitario con jóvenes.</w:t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contextualSpacing w:val="0"/>
        <w:rPr>
          <w:rFonts w:ascii="Verdana" w:cs="Verdana" w:eastAsia="Verdana" w:hAnsi="Verdana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252"/>
        <w:tab w:val="right" w:pos="8504"/>
      </w:tabs>
      <w:spacing w:before="142" w:line="240" w:lineRule="auto"/>
      <w:ind w:left="-1701" w:firstLine="0"/>
      <w:contextualSpacing w:val="0"/>
      <w:jc w:val="center"/>
      <w:rPr/>
    </w:pPr>
    <w:r w:rsidDel="00000000" w:rsidR="00000000" w:rsidRPr="00000000">
      <w:rPr>
        <w:rFonts w:ascii="Calibri" w:cs="Calibri" w:eastAsia="Calibri" w:hAnsi="Calibri"/>
      </w:rPr>
      <w:drawing>
        <wp:inline distB="0" distT="0" distL="0" distR="0">
          <wp:extent cx="2328880" cy="1028632"/>
          <wp:effectExtent b="0" l="0" r="0" t="0"/>
          <wp:docPr id="2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28880" cy="102863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991803" cy="924619"/>
          <wp:effectExtent b="0" l="0" r="0" t="0"/>
          <wp:docPr id="1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991803" cy="92461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